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32C" w:rsidRDefault="00D1032C">
      <w:pPr>
        <w:pStyle w:val="Body"/>
      </w:pPr>
      <w:bookmarkStart w:id="0" w:name="_GoBack"/>
      <w:bookmarkEnd w:id="0"/>
    </w:p>
    <w:p w:rsidR="00D1032C" w:rsidRDefault="00D1032C">
      <w:pPr>
        <w:pStyle w:val="Body"/>
      </w:pPr>
    </w:p>
    <w:p w:rsidR="00D1032C" w:rsidRDefault="00D1032C">
      <w:pPr>
        <w:pStyle w:val="Body"/>
      </w:pPr>
    </w:p>
    <w:p w:rsidR="00D1032C" w:rsidRDefault="00D1032C">
      <w:pPr>
        <w:pStyle w:val="Body"/>
      </w:pPr>
    </w:p>
    <w:p w:rsidR="00D1032C" w:rsidRDefault="00D1032C">
      <w:pPr>
        <w:pStyle w:val="Body"/>
      </w:pPr>
    </w:p>
    <w:p w:rsidR="00D1032C" w:rsidRDefault="00B04DA9">
      <w:pPr>
        <w:pStyle w:val="Body"/>
        <w:jc w:val="center"/>
        <w:rPr>
          <w:b/>
          <w:bCs/>
          <w:sz w:val="28"/>
          <w:szCs w:val="28"/>
        </w:rPr>
      </w:pPr>
      <w:r>
        <w:rPr>
          <w:b/>
          <w:bCs/>
          <w:sz w:val="28"/>
          <w:szCs w:val="28"/>
        </w:rPr>
        <w:t>FOR IMMEDIATE RELEASE</w:t>
      </w:r>
    </w:p>
    <w:p w:rsidR="00D1032C" w:rsidRDefault="00D1032C">
      <w:pPr>
        <w:pStyle w:val="Body"/>
        <w:jc w:val="center"/>
        <w:rPr>
          <w:b/>
          <w:bCs/>
          <w:sz w:val="28"/>
          <w:szCs w:val="28"/>
        </w:rPr>
      </w:pPr>
    </w:p>
    <w:p w:rsidR="00D1032C" w:rsidRDefault="00B04DA9">
      <w:pPr>
        <w:pStyle w:val="Body"/>
        <w:jc w:val="center"/>
        <w:rPr>
          <w:b/>
          <w:bCs/>
          <w:i/>
          <w:iCs/>
          <w:sz w:val="28"/>
          <w:szCs w:val="28"/>
        </w:rPr>
      </w:pPr>
      <w:r>
        <w:rPr>
          <w:b/>
          <w:bCs/>
          <w:i/>
          <w:iCs/>
          <w:sz w:val="28"/>
          <w:szCs w:val="28"/>
        </w:rPr>
        <w:t>Teen Pregnancy Prevention Month</w:t>
      </w:r>
    </w:p>
    <w:p w:rsidR="00D1032C" w:rsidRDefault="00D1032C">
      <w:pPr>
        <w:pStyle w:val="Body"/>
        <w:rPr>
          <w:sz w:val="28"/>
          <w:szCs w:val="28"/>
        </w:rPr>
      </w:pPr>
    </w:p>
    <w:p w:rsidR="00D1032C" w:rsidRDefault="00B04DA9">
      <w:pPr>
        <w:pStyle w:val="Body"/>
      </w:pPr>
      <w:r>
        <w:t xml:space="preserve">Contact: </w:t>
      </w:r>
      <w:r>
        <w:rPr>
          <w:b/>
          <w:bCs/>
          <w:i/>
          <w:iCs/>
        </w:rPr>
        <w:t xml:space="preserve">Kelsea </w:t>
      </w:r>
      <w:proofErr w:type="spellStart"/>
      <w:r>
        <w:rPr>
          <w:b/>
          <w:bCs/>
          <w:i/>
          <w:iCs/>
        </w:rPr>
        <w:t>Jabkiewicz</w:t>
      </w:r>
      <w:proofErr w:type="spellEnd"/>
      <w:r>
        <w:rPr>
          <w:b/>
          <w:bCs/>
          <w:i/>
          <w:iCs/>
        </w:rPr>
        <w:t>, Teen Pregnancy Prevention Coordinator</w:t>
      </w:r>
    </w:p>
    <w:p w:rsidR="00D1032C" w:rsidRDefault="00B04DA9">
      <w:pPr>
        <w:pStyle w:val="Body"/>
        <w:rPr>
          <w:b/>
          <w:bCs/>
          <w:i/>
          <w:iCs/>
        </w:rPr>
      </w:pPr>
      <w:r>
        <w:t xml:space="preserve">Phone Number: </w:t>
      </w:r>
      <w:r>
        <w:rPr>
          <w:b/>
          <w:bCs/>
          <w:i/>
          <w:iCs/>
        </w:rPr>
        <w:t>(517)768-2150</w:t>
      </w:r>
    </w:p>
    <w:p w:rsidR="00D1032C" w:rsidRDefault="00B04DA9">
      <w:pPr>
        <w:pStyle w:val="Body"/>
      </w:pPr>
      <w:r>
        <w:t xml:space="preserve">Email address: </w:t>
      </w:r>
      <w:hyperlink r:id="rId6" w:history="1">
        <w:r>
          <w:rPr>
            <w:rStyle w:val="Hyperlink0"/>
          </w:rPr>
          <w:t>kjabkiewicz@co.jackson.mi.us</w:t>
        </w:r>
      </w:hyperlink>
      <w:r>
        <w:t xml:space="preserve">  </w:t>
      </w:r>
    </w:p>
    <w:p w:rsidR="00D1032C" w:rsidRDefault="00B04DA9">
      <w:pPr>
        <w:pStyle w:val="Body"/>
      </w:pPr>
      <w:r>
        <w:t xml:space="preserve"> </w:t>
      </w:r>
    </w:p>
    <w:p w:rsidR="00D1032C" w:rsidRDefault="00B04DA9">
      <w:pPr>
        <w:pStyle w:val="Body"/>
      </w:pPr>
      <w:r>
        <w:rPr>
          <w:b/>
          <w:bCs/>
          <w:lang w:val="de-DE"/>
        </w:rPr>
        <w:t>JACKSON  COUNTY,   MI</w:t>
      </w:r>
      <w:r>
        <w:rPr>
          <w:b/>
          <w:bCs/>
          <w:i/>
          <w:iCs/>
        </w:rPr>
        <w:t xml:space="preserve">  </w:t>
      </w:r>
      <w:r>
        <w:t>– May is Teen Pregnancy Prevention Month and the Jackson County Health Department would like to share some ways you can get involved in helping teens consider how having a child could impact their life and steps to take for prevention.</w:t>
      </w:r>
    </w:p>
    <w:p w:rsidR="00D1032C" w:rsidRDefault="00D1032C">
      <w:pPr>
        <w:pStyle w:val="Body"/>
      </w:pPr>
    </w:p>
    <w:p w:rsidR="00D1032C" w:rsidRDefault="00B04DA9">
      <w:pPr>
        <w:pStyle w:val="Body"/>
      </w:pPr>
      <w:r>
        <w:t xml:space="preserve">Power to Decide, the national campaign to prevent unplanned pregnancy, states that the latest news on the teen pregnancy front has been incredibly positive.  Since the 1990’s, teen birth rate in the U.S. has declined by 67% and is now at record level lows.  Jackson County has also experienced dramatic declines in teen pregnancy rates with a 43% reduction since the 1990’s. The 2016 teen pregnancy rate for Jackson County is 35.1 per 1.000 females, ages 15-19, compared to a Michigan rate of 29.2.  </w:t>
      </w:r>
    </w:p>
    <w:p w:rsidR="00D1032C" w:rsidRDefault="00D1032C">
      <w:pPr>
        <w:pStyle w:val="Body"/>
      </w:pPr>
    </w:p>
    <w:p w:rsidR="00D1032C" w:rsidRDefault="00B04DA9">
      <w:pPr>
        <w:pStyle w:val="Body"/>
      </w:pPr>
      <w:r>
        <w:t xml:space="preserve">To continue this momentum, join us the month of May to support the National Day and Teen Pregnancy Prevention Awareness Month.  On the National Day, and throughout the month of May, teens will be invited to visit Power to </w:t>
      </w:r>
      <w:proofErr w:type="spellStart"/>
      <w:r>
        <w:t>Decide’s</w:t>
      </w:r>
      <w:proofErr w:type="spellEnd"/>
      <w:r>
        <w:t xml:space="preserve"> teen website—</w:t>
      </w:r>
      <w:hyperlink r:id="rId7" w:history="1">
        <w:r>
          <w:rPr>
            <w:rStyle w:val="Hyperlink1"/>
          </w:rPr>
          <w:t>StayTeen.org</w:t>
        </w:r>
      </w:hyperlink>
      <w:r>
        <w:t>—to participate in the online National Day Quiz.  The quiz challenges teens to think carefully about what they might do "in the moment" through a series of interactive scenarios. The website also has discussion guides for parents and teens on how to start a conversation about sex, love, relationships, contraception, and making good decisions.</w:t>
      </w:r>
    </w:p>
    <w:p w:rsidR="00D1032C" w:rsidRDefault="00D1032C">
      <w:pPr>
        <w:pStyle w:val="Body"/>
      </w:pPr>
    </w:p>
    <w:p w:rsidR="00D1032C" w:rsidRDefault="00B04DA9">
      <w:pPr>
        <w:pStyle w:val="Body"/>
      </w:pPr>
      <w:r>
        <w:t xml:space="preserve">Kelsea </w:t>
      </w:r>
      <w:proofErr w:type="spellStart"/>
      <w:r>
        <w:t>Jabkiewicz</w:t>
      </w:r>
      <w:proofErr w:type="spellEnd"/>
      <w:r>
        <w:t>, Teen Pregnancy Prevention Coordinator at the Jackson County Health Department states, “We have made great strides working together as a community to educate teens on making healthy and responsible choices. Let’s continue to talk early and often with young people about adolescent sexual health.”</w:t>
      </w:r>
    </w:p>
    <w:p w:rsidR="00D1032C" w:rsidRDefault="00D1032C">
      <w:pPr>
        <w:pStyle w:val="Body"/>
      </w:pPr>
    </w:p>
    <w:p w:rsidR="00D1032C" w:rsidRDefault="00B04DA9">
      <w:pPr>
        <w:pStyle w:val="Body"/>
      </w:pPr>
      <w:r>
        <w:t>For more resources regarding teen pregnancy prevention and adolescent sexual health, visit:</w:t>
      </w:r>
    </w:p>
    <w:p w:rsidR="00D1032C" w:rsidRDefault="00441A47">
      <w:pPr>
        <w:pStyle w:val="Body"/>
        <w:rPr>
          <w:b/>
          <w:bCs/>
          <w:i/>
          <w:iCs/>
        </w:rPr>
      </w:pPr>
      <w:hyperlink r:id="rId8" w:history="1">
        <w:r w:rsidR="00B04DA9">
          <w:rPr>
            <w:rStyle w:val="Hyperlink0"/>
            <w:b/>
            <w:bCs/>
            <w:i/>
            <w:iCs/>
          </w:rPr>
          <w:t>https://powertodecide.org</w:t>
        </w:r>
      </w:hyperlink>
      <w:r w:rsidR="00B04DA9">
        <w:rPr>
          <w:b/>
          <w:bCs/>
          <w:i/>
          <w:iCs/>
        </w:rPr>
        <w:t xml:space="preserve"> </w:t>
      </w:r>
    </w:p>
    <w:p w:rsidR="00D1032C" w:rsidRDefault="00441A47">
      <w:pPr>
        <w:pStyle w:val="Body"/>
        <w:rPr>
          <w:b/>
          <w:bCs/>
          <w:i/>
          <w:iCs/>
        </w:rPr>
      </w:pPr>
      <w:hyperlink r:id="rId9" w:history="1">
        <w:r w:rsidR="00B04DA9">
          <w:rPr>
            <w:rStyle w:val="Hyperlink2"/>
            <w:rFonts w:eastAsia="Arial Unicode MS"/>
            <w:lang w:val="de-DE"/>
          </w:rPr>
          <w:t>http://tppijackson.org/</w:t>
        </w:r>
      </w:hyperlink>
      <w:r w:rsidR="00B04DA9">
        <w:rPr>
          <w:b/>
          <w:bCs/>
          <w:i/>
          <w:iCs/>
        </w:rPr>
        <w:t xml:space="preserve"> </w:t>
      </w:r>
    </w:p>
    <w:p w:rsidR="00D1032C" w:rsidRDefault="00B04DA9">
      <w:pPr>
        <w:pStyle w:val="Body"/>
      </w:pPr>
      <w:r>
        <w:t>________________________________________________________________________________________________________________________________________________________________________</w:t>
      </w:r>
    </w:p>
    <w:p w:rsidR="00D1032C" w:rsidRDefault="00D1032C">
      <w:pPr>
        <w:pStyle w:val="Body"/>
      </w:pPr>
    </w:p>
    <w:p w:rsidR="00D1032C" w:rsidRDefault="00B04DA9">
      <w:pPr>
        <w:pStyle w:val="Body"/>
        <w:jc w:val="center"/>
      </w:pPr>
      <w:r>
        <w:t>###</w:t>
      </w:r>
    </w:p>
    <w:p w:rsidR="00D1032C" w:rsidRDefault="00D1032C">
      <w:pPr>
        <w:pStyle w:val="Body"/>
      </w:pPr>
    </w:p>
    <w:sectPr w:rsidR="00D1032C">
      <w:headerReference w:type="default" r:id="rId10"/>
      <w:footerReference w:type="default" r:id="rId11"/>
      <w:headerReference w:type="first" r:id="rId12"/>
      <w:footerReference w:type="first" r:id="rId13"/>
      <w:pgSz w:w="12240" w:h="15840"/>
      <w:pgMar w:top="1080" w:right="1080" w:bottom="1080" w:left="1080"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B7B" w:rsidRDefault="00B04DA9">
      <w:r>
        <w:separator/>
      </w:r>
    </w:p>
  </w:endnote>
  <w:endnote w:type="continuationSeparator" w:id="0">
    <w:p w:rsidR="00B81B7B" w:rsidRDefault="00B0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2C" w:rsidRDefault="00D1032C">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2C" w:rsidRDefault="00D1032C">
    <w:pPr>
      <w:pStyle w:val="Footer"/>
    </w:pPr>
  </w:p>
  <w:p w:rsidR="00D1032C" w:rsidRDefault="00D1032C">
    <w:pPr>
      <w:pStyle w:val="Footer"/>
      <w:tabs>
        <w:tab w:val="clear" w:pos="4320"/>
        <w:tab w:val="clear" w:pos="8640"/>
        <w:tab w:val="center" w:pos="5040"/>
      </w:tabs>
      <w:jc w:val="center"/>
    </w:pPr>
  </w:p>
  <w:p w:rsidR="00D1032C" w:rsidRDefault="00D1032C">
    <w:pPr>
      <w:pStyle w:val="Footer"/>
      <w:tabs>
        <w:tab w:val="clear" w:pos="4320"/>
        <w:tab w:val="clear" w:pos="8640"/>
        <w:tab w:val="center" w:pos="50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B7B" w:rsidRDefault="00B04DA9">
      <w:r>
        <w:separator/>
      </w:r>
    </w:p>
  </w:footnote>
  <w:footnote w:type="continuationSeparator" w:id="0">
    <w:p w:rsidR="00B81B7B" w:rsidRDefault="00B0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2C" w:rsidRDefault="00D1032C">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2C" w:rsidRDefault="00B04DA9">
    <w:pPr>
      <w:pStyle w:val="Header"/>
    </w:pPr>
    <w:r>
      <w:rPr>
        <w:noProof/>
      </w:rPr>
      <w:drawing>
        <wp:anchor distT="152400" distB="152400" distL="152400" distR="152400" simplePos="0" relativeHeight="251658240" behindDoc="1" locked="0" layoutInCell="1" allowOverlap="1">
          <wp:simplePos x="0" y="0"/>
          <wp:positionH relativeFrom="page">
            <wp:posOffset>390525</wp:posOffset>
          </wp:positionH>
          <wp:positionV relativeFrom="page">
            <wp:posOffset>184150</wp:posOffset>
          </wp:positionV>
          <wp:extent cx="3914775" cy="1388745"/>
          <wp:effectExtent l="0" t="0" r="0" b="0"/>
          <wp:wrapNone/>
          <wp:docPr id="1073741825" name="officeArt object" descr="JCHD logo no letters"/>
          <wp:cNvGraphicFramePr/>
          <a:graphic xmlns:a="http://schemas.openxmlformats.org/drawingml/2006/main">
            <a:graphicData uri="http://schemas.openxmlformats.org/drawingml/2006/picture">
              <pic:pic xmlns:pic="http://schemas.openxmlformats.org/drawingml/2006/picture">
                <pic:nvPicPr>
                  <pic:cNvPr id="1073741825" name="JCHD logo no letters" descr="JCHD logo no letters"/>
                  <pic:cNvPicPr>
                    <a:picLocks noChangeAspect="1"/>
                  </pic:cNvPicPr>
                </pic:nvPicPr>
                <pic:blipFill>
                  <a:blip r:embed="rId1">
                    <a:extLst/>
                  </a:blip>
                  <a:stretch>
                    <a:fillRect/>
                  </a:stretch>
                </pic:blipFill>
                <pic:spPr>
                  <a:xfrm>
                    <a:off x="0" y="0"/>
                    <a:ext cx="3914775" cy="13887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simplePos x="0" y="0"/>
              <wp:positionH relativeFrom="page">
                <wp:posOffset>1379219</wp:posOffset>
              </wp:positionH>
              <wp:positionV relativeFrom="page">
                <wp:posOffset>180975</wp:posOffset>
              </wp:positionV>
              <wp:extent cx="5864225" cy="755650"/>
              <wp:effectExtent l="0" t="0" r="0" b="0"/>
              <wp:wrapNone/>
              <wp:docPr id="1073741826" name="officeArt object" descr="Text Box 5"/>
              <wp:cNvGraphicFramePr/>
              <a:graphic xmlns:a="http://schemas.openxmlformats.org/drawingml/2006/main">
                <a:graphicData uri="http://schemas.microsoft.com/office/word/2010/wordprocessingShape">
                  <wps:wsp>
                    <wps:cNvSpPr txBox="1"/>
                    <wps:spPr>
                      <a:xfrm>
                        <a:off x="0" y="0"/>
                        <a:ext cx="5864225" cy="755650"/>
                      </a:xfrm>
                      <a:prstGeom prst="rect">
                        <a:avLst/>
                      </a:prstGeom>
                      <a:noFill/>
                      <a:ln w="12700" cap="flat">
                        <a:noFill/>
                        <a:miter lim="400000"/>
                      </a:ln>
                      <a:effectLst/>
                    </wps:spPr>
                    <wps:txbx>
                      <w:txbxContent>
                        <w:p w:rsidR="00D1032C" w:rsidRDefault="00B04DA9">
                          <w:pPr>
                            <w:pStyle w:val="Body"/>
                            <w:widowControl w:val="0"/>
                          </w:pPr>
                          <w:r>
                            <w:rPr>
                              <w:rFonts w:ascii="Arabic Typesetting" w:eastAsia="Arabic Typesetting" w:hAnsi="Arabic Typesetting" w:cs="Arabic Typesetting"/>
                              <w:b/>
                              <w:bCs/>
                              <w:sz w:val="72"/>
                              <w:szCs w:val="72"/>
                            </w:rPr>
                            <w:t>Jackson County Health Department</w:t>
                          </w:r>
                        </w:p>
                      </w:txbxContent>
                    </wps:txbx>
                    <wps:bodyPr wrap="square" lIns="36576" tIns="36576" rIns="36576" bIns="36576"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5" style="position:absolute;margin-left:108.6pt;margin-top:14.25pt;width:461.75pt;height:59.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" filled="f" stroked="f" strokeweight="1pt">
              <v:stroke miterlimit="4"/>
              <v:textbox inset="2.88pt,2.88pt,2.88pt,2.88pt">
                <w:txbxContent>
                  <w:p w:rsidR="00D1032C" w:rsidRDefault="00B04DA9">
                    <w:pPr>
                      <w:pStyle w:val="Body"/>
                      <w:widowControl w:val="0"/>
                    </w:pPr>
                    <w:r>
                      <w:rPr>
                        <w:rFonts w:ascii="Arabic Typesetting" w:eastAsia="Arabic Typesetting" w:hAnsi="Arabic Typesetting" w:cs="Arabic Typesetting"/>
                        <w:b/>
                        <w:bCs/>
                        <w:sz w:val="72"/>
                        <w:szCs w:val="72"/>
                      </w:rPr>
                      <w:t>Jackson County Health Department</w:t>
                    </w:r>
                  </w:p>
                </w:txbxContent>
              </v:textbox>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simplePos x="0" y="0"/>
              <wp:positionH relativeFrom="page">
                <wp:posOffset>1380489</wp:posOffset>
              </wp:positionH>
              <wp:positionV relativeFrom="page">
                <wp:posOffset>615950</wp:posOffset>
              </wp:positionV>
              <wp:extent cx="5452746" cy="250825"/>
              <wp:effectExtent l="0" t="0" r="0" b="0"/>
              <wp:wrapNone/>
              <wp:docPr id="1073741827" name="officeArt object" descr="Text Box 7"/>
              <wp:cNvGraphicFramePr/>
              <a:graphic xmlns:a="http://schemas.openxmlformats.org/drawingml/2006/main">
                <a:graphicData uri="http://schemas.microsoft.com/office/word/2010/wordprocessingShape">
                  <wps:wsp>
                    <wps:cNvSpPr txBox="1"/>
                    <wps:spPr>
                      <a:xfrm>
                        <a:off x="0" y="0"/>
                        <a:ext cx="5452746" cy="250825"/>
                      </a:xfrm>
                      <a:prstGeom prst="rect">
                        <a:avLst/>
                      </a:prstGeom>
                      <a:noFill/>
                      <a:ln w="12700" cap="flat">
                        <a:noFill/>
                        <a:miter lim="400000"/>
                      </a:ln>
                      <a:effectLst/>
                    </wps:spPr>
                    <wps:txbx>
                      <w:txbxContent>
                        <w:p w:rsidR="00D1032C" w:rsidRDefault="00B04DA9">
                          <w:pPr>
                            <w:pStyle w:val="Body"/>
                          </w:pPr>
                          <w:r>
                            <w:rPr>
                              <w:rFonts w:ascii="Arabic Typesetting" w:eastAsia="Arabic Typesetting" w:hAnsi="Arabic Typesetting" w:cs="Arabic Typesetting"/>
                            </w:rPr>
                            <w:t xml:space="preserve">1715 Lansing Avenue • </w:t>
                          </w:r>
                          <w:r>
                            <w:rPr>
                              <w:rFonts w:ascii="Arabic Typesetting" w:eastAsia="Arabic Typesetting" w:hAnsi="Arabic Typesetting" w:cs="Arabic Typesetting"/>
                              <w:lang w:val="it-IT"/>
                            </w:rPr>
                            <w:t xml:space="preserve">Ste. 221 </w:t>
                          </w:r>
                          <w:r>
                            <w:rPr>
                              <w:rFonts w:ascii="Arabic Typesetting" w:eastAsia="Arabic Typesetting" w:hAnsi="Arabic Typesetting" w:cs="Arabic Typesetting"/>
                            </w:rPr>
                            <w:t>• Jackson, MI 49202 • Phone (517) 788-4420 • Fax (517) 788-4373</w:t>
                          </w:r>
                        </w:p>
                      </w:txbxContent>
                    </wps:txbx>
                    <wps:bodyPr wrap="square" lIns="45719" tIns="45719" rIns="45719" bIns="45719" numCol="1" anchor="t">
                      <a:noAutofit/>
                    </wps:bodyPr>
                  </wps:wsp>
                </a:graphicData>
              </a:graphic>
            </wp:anchor>
          </w:drawing>
        </mc:Choice>
        <mc:Fallback>
          <w:pict>
            <v:shape id="_x0000_s1027" type="#_x0000_t202" alt="Text Box 7" style="position:absolute;margin-left:108.7pt;margin-top:48.5pt;width:429.35pt;height:19.7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" filled="f" stroked="f" strokeweight="1pt">
              <v:stroke miterlimit="4"/>
              <v:textbox inset="1.27mm,1.27mm,1.27mm,1.27mm">
                <w:txbxContent>
                  <w:p w:rsidR="00D1032C" w:rsidRDefault="00B04DA9">
                    <w:pPr>
                      <w:pStyle w:val="Body"/>
                    </w:pPr>
                    <w:r>
                      <w:rPr>
                        <w:rFonts w:ascii="Arabic Typesetting" w:eastAsia="Arabic Typesetting" w:hAnsi="Arabic Typesetting" w:cs="Arabic Typesetting"/>
                      </w:rPr>
                      <w:t xml:space="preserve">1715 Lansing Avenue • </w:t>
                    </w:r>
                    <w:r>
                      <w:rPr>
                        <w:rFonts w:ascii="Arabic Typesetting" w:eastAsia="Arabic Typesetting" w:hAnsi="Arabic Typesetting" w:cs="Arabic Typesetting"/>
                        <w:lang w:val="it-IT"/>
                      </w:rPr>
                      <w:t xml:space="preserve">Ste. 221 </w:t>
                    </w:r>
                    <w:r>
                      <w:rPr>
                        <w:rFonts w:ascii="Arabic Typesetting" w:eastAsia="Arabic Typesetting" w:hAnsi="Arabic Typesetting" w:cs="Arabic Typesetting"/>
                      </w:rPr>
                      <w:t>• Jackson, MI 49202 • Phone (517) 788-4420 • Fax (517) 788-4373</w:t>
                    </w:r>
                  </w:p>
                </w:txbxContent>
              </v:textbox>
              <w10:wrap anchorx="page" anchory="page"/>
            </v:shape>
          </w:pict>
        </mc:Fallback>
      </mc:AlternateContent>
    </w:r>
    <w:r>
      <w:rPr>
        <w:noProof/>
      </w:rPr>
      <w:drawing>
        <wp:anchor distT="152400" distB="152400" distL="152400" distR="152400" simplePos="0" relativeHeight="251661312" behindDoc="1" locked="0" layoutInCell="1" allowOverlap="1">
          <wp:simplePos x="0" y="0"/>
          <wp:positionH relativeFrom="page">
            <wp:posOffset>6427809</wp:posOffset>
          </wp:positionH>
          <wp:positionV relativeFrom="page">
            <wp:posOffset>238125</wp:posOffset>
          </wp:positionV>
          <wp:extent cx="982641" cy="990600"/>
          <wp:effectExtent l="0" t="0" r="0" b="0"/>
          <wp:wrapNone/>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2">
                    <a:extLst/>
                  </a:blip>
                  <a:stretch>
                    <a:fillRect/>
                  </a:stretch>
                </pic:blipFill>
                <pic:spPr>
                  <a:xfrm>
                    <a:off x="0" y="0"/>
                    <a:ext cx="982641" cy="9906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2336" behindDoc="1" locked="0" layoutInCell="1" allowOverlap="1">
              <wp:simplePos x="0" y="0"/>
              <wp:positionH relativeFrom="page">
                <wp:posOffset>930909</wp:posOffset>
              </wp:positionH>
              <wp:positionV relativeFrom="page">
                <wp:posOffset>9563100</wp:posOffset>
              </wp:positionV>
              <wp:extent cx="5967096" cy="1138556"/>
              <wp:effectExtent l="0" t="0" r="0" b="0"/>
              <wp:wrapNone/>
              <wp:docPr id="1073741829" name="officeArt object" descr="Text Box 2"/>
              <wp:cNvGraphicFramePr/>
              <a:graphic xmlns:a="http://schemas.openxmlformats.org/drawingml/2006/main">
                <a:graphicData uri="http://schemas.microsoft.com/office/word/2010/wordprocessingShape">
                  <wps:wsp>
                    <wps:cNvSpPr txBox="1"/>
                    <wps:spPr>
                      <a:xfrm>
                        <a:off x="0" y="0"/>
                        <a:ext cx="5967096" cy="1138556"/>
                      </a:xfrm>
                      <a:prstGeom prst="rect">
                        <a:avLst/>
                      </a:prstGeom>
                      <a:solidFill>
                        <a:srgbClr val="FFFFFF"/>
                      </a:solidFill>
                      <a:ln w="12700" cap="flat">
                        <a:noFill/>
                        <a:miter lim="400000"/>
                      </a:ln>
                      <a:effectLst/>
                    </wps:spPr>
                    <wps:txbx>
                      <w:txbxContent>
                        <w:p w:rsidR="00D1032C" w:rsidRDefault="00D1032C">
                          <w:pPr>
                            <w:pStyle w:val="Body"/>
                            <w:rPr>
                              <w:rFonts w:ascii="Arabic Typesetting" w:eastAsia="Arabic Typesetting" w:hAnsi="Arabic Typesetting" w:cs="Arabic Typesetting"/>
                              <w:b/>
                              <w:bCs/>
                              <w:sz w:val="28"/>
                              <w:szCs w:val="28"/>
                            </w:rPr>
                          </w:pPr>
                        </w:p>
                        <w:p w:rsidR="00D1032C" w:rsidRDefault="00B04DA9">
                          <w:pPr>
                            <w:pStyle w:val="Body"/>
                            <w:jc w:val="center"/>
                            <w:rPr>
                              <w:rFonts w:ascii="Arabic Typesetting" w:eastAsia="Arabic Typesetting" w:hAnsi="Arabic Typesetting" w:cs="Arabic Typesetting"/>
                              <w:sz w:val="28"/>
                              <w:szCs w:val="28"/>
                            </w:rPr>
                          </w:pPr>
                          <w:r>
                            <w:rPr>
                              <w:rFonts w:ascii="Arabic Typesetting" w:eastAsia="Arabic Typesetting" w:hAnsi="Arabic Typesetting" w:cs="Arabic Typesetting"/>
                              <w:sz w:val="28"/>
                              <w:szCs w:val="28"/>
                            </w:rPr>
                            <w:t xml:space="preserve">Working together to create and promote a healthy community through disease prevention and control, </w:t>
                          </w:r>
                        </w:p>
                        <w:p w:rsidR="00D1032C" w:rsidRDefault="00B04DA9">
                          <w:pPr>
                            <w:pStyle w:val="Body"/>
                            <w:jc w:val="center"/>
                          </w:pPr>
                          <w:r>
                            <w:rPr>
                              <w:rFonts w:ascii="Arabic Typesetting" w:eastAsia="Arabic Typesetting" w:hAnsi="Arabic Typesetting" w:cs="Arabic Typesetting"/>
                              <w:sz w:val="28"/>
                              <w:szCs w:val="28"/>
                            </w:rPr>
                            <w:t>health education, environmental protection and emergency preparedness.</w:t>
                          </w:r>
                        </w:p>
                      </w:txbxContent>
                    </wps:txbx>
                    <wps:bodyPr wrap="square" lIns="45719" tIns="45719" rIns="45719" bIns="45719" numCol="1" anchor="t">
                      <a:noAutofit/>
                    </wps:bodyPr>
                  </wps:wsp>
                </a:graphicData>
              </a:graphic>
            </wp:anchor>
          </w:drawing>
        </mc:Choice>
        <mc:Fallback>
          <w:pict>
            <v:shape id="_x0000_s1028" type="#_x0000_t202" alt="Text Box 2" style="position:absolute;margin-left:73.3pt;margin-top:753pt;width:469.85pt;height:89.65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" stroked="f" strokeweight="1pt">
              <v:stroke miterlimit="4"/>
              <v:textbox inset="1.27mm,1.27mm,1.27mm,1.27mm">
                <w:txbxContent>
                  <w:p w:rsidR="00D1032C" w:rsidRDefault="00D1032C">
                    <w:pPr>
                      <w:pStyle w:val="Body"/>
                      <w:rPr>
                        <w:rFonts w:ascii="Arabic Typesetting" w:eastAsia="Arabic Typesetting" w:hAnsi="Arabic Typesetting" w:cs="Arabic Typesetting"/>
                        <w:b/>
                        <w:bCs/>
                        <w:sz w:val="28"/>
                        <w:szCs w:val="28"/>
                      </w:rPr>
                    </w:pPr>
                  </w:p>
                  <w:p w:rsidR="00D1032C" w:rsidRDefault="00B04DA9">
                    <w:pPr>
                      <w:pStyle w:val="Body"/>
                      <w:jc w:val="center"/>
                      <w:rPr>
                        <w:rFonts w:ascii="Arabic Typesetting" w:eastAsia="Arabic Typesetting" w:hAnsi="Arabic Typesetting" w:cs="Arabic Typesetting"/>
                        <w:sz w:val="28"/>
                        <w:szCs w:val="28"/>
                      </w:rPr>
                    </w:pPr>
                    <w:r>
                      <w:rPr>
                        <w:rFonts w:ascii="Arabic Typesetting" w:eastAsia="Arabic Typesetting" w:hAnsi="Arabic Typesetting" w:cs="Arabic Typesetting"/>
                        <w:sz w:val="28"/>
                        <w:szCs w:val="28"/>
                      </w:rPr>
                      <w:t xml:space="preserve">Working together to create and promote a healthy community through disease prevention and control, </w:t>
                    </w:r>
                  </w:p>
                  <w:p w:rsidR="00D1032C" w:rsidRDefault="00B04DA9">
                    <w:pPr>
                      <w:pStyle w:val="Body"/>
                      <w:jc w:val="center"/>
                    </w:pPr>
                    <w:r>
                      <w:rPr>
                        <w:rFonts w:ascii="Arabic Typesetting" w:eastAsia="Arabic Typesetting" w:hAnsi="Arabic Typesetting" w:cs="Arabic Typesetting"/>
                        <w:sz w:val="28"/>
                        <w:szCs w:val="28"/>
                      </w:rPr>
                      <w:t>health education, environmental protection and emergency preparedness.</w:t>
                    </w:r>
                  </w:p>
                </w:txbxContent>
              </v:textbox>
              <w10:wrap anchorx="page" anchory="page"/>
            </v:shape>
          </w:pict>
        </mc:Fallback>
      </mc:AlternateContent>
    </w:r>
    <w:r>
      <w:rPr>
        <w:noProof/>
      </w:rPr>
      <mc:AlternateContent>
        <mc:Choice Requires="wps">
          <w:drawing>
            <wp:anchor distT="152400" distB="152400" distL="152400" distR="152400" simplePos="0" relativeHeight="251663360" behindDoc="1" locked="0" layoutInCell="1" allowOverlap="1">
              <wp:simplePos x="0" y="0"/>
              <wp:positionH relativeFrom="page">
                <wp:posOffset>695325</wp:posOffset>
              </wp:positionH>
              <wp:positionV relativeFrom="page">
                <wp:posOffset>9721215</wp:posOffset>
              </wp:positionV>
              <wp:extent cx="6343650" cy="0"/>
              <wp:effectExtent l="0" t="0" r="0" b="0"/>
              <wp:wrapNone/>
              <wp:docPr id="1073741830" name="officeArt object" descr="AutoShape 11"/>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a:solidFill>
                          <a:srgbClr val="000000"/>
                        </a:solidFill>
                        <a:prstDash val="solid"/>
                        <a:round/>
                      </a:ln>
                      <a:effectLst/>
                    </wps:spPr>
                    <wps:bodyPr/>
                  </wps:wsp>
                </a:graphicData>
              </a:graphic>
            </wp:anchor>
          </w:drawing>
        </mc:Choice>
        <mc:Fallback>
          <w:pict>
            <v:line w14:anchorId="1DFFBB67" id="officeArt object" o:spid="_x0000_s1026" alt="AutoShape 11" style="position:absolute;z-index:-251653120;visibility:visible;mso-wrap-style:square;mso-wrap-distance-left:12pt;mso-wrap-distance-top:12pt;mso-wrap-distance-right:12pt;mso-wrap-distance-bottom:12pt;mso-position-horizontal:absolute;mso-position-horizontal-relative:page;mso-position-vertical:absolute;mso-position-vertical-relative:page" from="54.75pt,765.45pt" to="554.2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C"/>
    <w:rsid w:val="000B6F0C"/>
    <w:rsid w:val="00441A47"/>
    <w:rsid w:val="00B04DA9"/>
    <w:rsid w:val="00B81B7B"/>
    <w:rsid w:val="00D1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98E21-1775-49B1-8CE6-92BE9769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lang w:val="en-US"/>
    </w:rPr>
  </w:style>
  <w:style w:type="character" w:customStyle="1" w:styleId="Hyperlink2">
    <w:name w:val="Hyperlink.2"/>
    <w:basedOn w:val="Hyperlink0"/>
    <w:rPr>
      <w:rFonts w:ascii="Times New Roman" w:eastAsia="Times New Roman" w:hAnsi="Times New Roman" w:cs="Times New Roman"/>
      <w:b/>
      <w:bCs/>
      <w:i/>
      <w:iCs/>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owertodecide.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tayteen.org/"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abkiewicz@co.jackson.mi.u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ppijackson.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Kelsea Jabkiewicz</dc:creator>
  <cp:lastModifiedBy>Jodie Shaver</cp:lastModifiedBy>
  <cp:revision>2</cp:revision>
  <dcterms:created xsi:type="dcterms:W3CDTF">2018-05-10T13:30:00Z</dcterms:created>
  <dcterms:modified xsi:type="dcterms:W3CDTF">2018-05-10T13:30:00Z</dcterms:modified>
</cp:coreProperties>
</file>